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E656FD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66054D">
        <w:rPr>
          <w:rFonts w:eastAsia="Times New Roman"/>
          <w:b/>
          <w:sz w:val="22"/>
          <w:lang w:val="cs-CZ" w:eastAsia="cs-CZ"/>
        </w:rPr>
        <w:t>Česká republika – Ministerstvo zemědělství</w:t>
      </w:r>
    </w:p>
    <w:p w14:paraId="447FBB2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se sídlem: Těšnov 65/17, 11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0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Praha 1</w:t>
      </w:r>
      <w:r w:rsidR="00CA3465">
        <w:rPr>
          <w:rFonts w:eastAsia="Times New Roman"/>
          <w:sz w:val="22"/>
          <w:lang w:val="cs-CZ"/>
        </w:rPr>
        <w:t xml:space="preserve"> </w:t>
      </w:r>
      <w:r w:rsidR="00CA3465" w:rsidRPr="009C33DE">
        <w:rPr>
          <w:rFonts w:eastAsia="Times New Roman"/>
          <w:sz w:val="22"/>
          <w:lang w:val="cs-CZ"/>
        </w:rPr>
        <w:t>- Nové město</w:t>
      </w:r>
    </w:p>
    <w:p w14:paraId="733BCEB6" w14:textId="77777777" w:rsidR="00A32358" w:rsidRDefault="0066054D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IČ</w:t>
      </w:r>
      <w:r w:rsidR="002D2C04">
        <w:rPr>
          <w:rFonts w:eastAsia="Times New Roman"/>
          <w:sz w:val="22"/>
          <w:lang w:val="cs-CZ"/>
        </w:rPr>
        <w:t>O</w:t>
      </w:r>
      <w:r w:rsidRPr="0066054D">
        <w:rPr>
          <w:rFonts w:eastAsia="Times New Roman"/>
          <w:sz w:val="22"/>
          <w:lang w:val="cs-CZ"/>
        </w:rPr>
        <w:t>: 00020478</w:t>
      </w:r>
      <w:r w:rsidR="0039709F">
        <w:rPr>
          <w:rFonts w:eastAsia="Times New Roman"/>
          <w:sz w:val="22"/>
          <w:lang w:val="cs-CZ"/>
        </w:rPr>
        <w:t xml:space="preserve">, DIČ: </w:t>
      </w:r>
      <w:r w:rsidR="00973D68">
        <w:rPr>
          <w:rFonts w:eastAsia="Times New Roman"/>
          <w:sz w:val="22"/>
          <w:lang w:val="cs-CZ"/>
        </w:rPr>
        <w:t>CZ00020478</w:t>
      </w:r>
    </w:p>
    <w:p w14:paraId="58760C82" w14:textId="77777777" w:rsidR="006A5F0B" w:rsidRDefault="006A5F0B" w:rsidP="006A5F0B">
      <w:pPr>
        <w:pStyle w:val="RLdajeosmluvnstran0"/>
      </w:pPr>
      <w:r>
        <w:t xml:space="preserve">bank. spojení: </w:t>
      </w:r>
      <w:r w:rsidRPr="009C33DE">
        <w:t>Česká národní banka, Na Příkopě 28, Praha 1, č. účtu: 1226001/0710</w:t>
      </w:r>
    </w:p>
    <w:p w14:paraId="43CAC2C0" w14:textId="068AF6EA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 xml:space="preserve">: </w:t>
      </w:r>
      <w:r w:rsidR="00591B8A">
        <w:rPr>
          <w:rFonts w:eastAsia="Times New Roman"/>
          <w:sz w:val="22"/>
          <w:lang w:val="cs-CZ"/>
        </w:rPr>
        <w:t xml:space="preserve">Ing. </w:t>
      </w:r>
      <w:r w:rsidR="00C90140">
        <w:rPr>
          <w:rFonts w:eastAsia="Times New Roman"/>
          <w:sz w:val="22"/>
          <w:lang w:val="cs-CZ"/>
        </w:rPr>
        <w:t>Miroslavem Rychtaříkem</w:t>
      </w:r>
      <w:r w:rsidR="00591B8A" w:rsidRPr="000D72FB">
        <w:rPr>
          <w:rFonts w:eastAsia="Times New Roman"/>
          <w:sz w:val="22"/>
          <w:lang w:val="cs-CZ"/>
        </w:rPr>
        <w:t xml:space="preserve">, 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>ředitel</w:t>
      </w:r>
      <w:r w:rsidR="00D92BEC">
        <w:rPr>
          <w:rFonts w:asciiTheme="minorHAnsi" w:hAnsiTheme="minorHAnsi" w:cs="Arial"/>
          <w:sz w:val="22"/>
          <w:szCs w:val="22"/>
          <w:lang w:val="cs-CZ"/>
        </w:rPr>
        <w:t>em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 xml:space="preserve"> Odboru informačních a komunikačních technologií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66054D" w:rsidRPr="0066054D">
        <w:rPr>
          <w:rFonts w:eastAsia="Times New Roman"/>
          <w:b/>
          <w:sz w:val="22"/>
          <w:lang w:val="cs-CZ"/>
        </w:rPr>
        <w:t>Zadavatel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7777777" w:rsidR="0066054D" w:rsidRPr="005E0645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Zadavatel</w:t>
      </w:r>
      <w:r w:rsidRPr="005E0645">
        <w:rPr>
          <w:szCs w:val="22"/>
        </w:rPr>
        <w:t xml:space="preserve"> prohlašuje, že:</w:t>
      </w:r>
    </w:p>
    <w:p w14:paraId="3F09AC61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>je ústředním orgánem státní správy, jehož působnost a zásady čin</w:t>
      </w:r>
      <w:r w:rsidR="00920EB4">
        <w:rPr>
          <w:szCs w:val="22"/>
        </w:rPr>
        <w:t>nosti jsou stanoveny zákonem č. </w:t>
      </w:r>
      <w:r w:rsidRPr="005E0645">
        <w:rPr>
          <w:szCs w:val="22"/>
        </w:rPr>
        <w:t>2/1969 Sb., o zřízení ministerstev a jiných ústředních orgánů státní správy České republiky,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7EDD16F2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E41536" w:rsidRPr="00E41536">
        <w:rPr>
          <w:b/>
          <w:bCs/>
        </w:rPr>
        <w:t>4</w:t>
      </w:r>
      <w:r w:rsidR="00D81464" w:rsidRPr="00D81464">
        <w:rPr>
          <w:rFonts w:cs="Arial"/>
          <w:b/>
          <w:bCs/>
        </w:rPr>
        <w:t xml:space="preserve">. kolo - </w:t>
      </w:r>
      <w:r w:rsidR="00E41536">
        <w:rPr>
          <w:rFonts w:cs="Arial"/>
          <w:b/>
          <w:bCs/>
        </w:rPr>
        <w:t>T</w:t>
      </w:r>
      <w:r w:rsidR="00D81464" w:rsidRPr="00D81464">
        <w:rPr>
          <w:rFonts w:cs="Arial"/>
          <w:b/>
          <w:bCs/>
        </w:rPr>
        <w:t xml:space="preserve">ým </w:t>
      </w:r>
      <w:r w:rsidR="00C90140">
        <w:rPr>
          <w:rFonts w:cs="Arial"/>
          <w:b/>
          <w:bCs/>
        </w:rPr>
        <w:t>specialistů pro podporu platformy Microsoft</w:t>
      </w:r>
      <w:r w:rsidR="00BB01B6">
        <w:rPr>
          <w:rFonts w:cs="Arial"/>
          <w:b/>
          <w:bCs/>
        </w:rPr>
        <w:t xml:space="preserve"> MZe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66054D">
        <w:t xml:space="preserve">Zadavatel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Zadavatel </w:t>
      </w:r>
      <w:r w:rsidRPr="005E0645">
        <w:t>jinak, jsou veškeré informace</w:t>
      </w:r>
      <w:r>
        <w:t>, které</w:t>
      </w:r>
      <w:r w:rsidRPr="006E00C2">
        <w:t xml:space="preserve"> byly </w:t>
      </w:r>
      <w:r>
        <w:t>Zadavatel</w:t>
      </w:r>
      <w:r w:rsidRPr="006E00C2">
        <w:t xml:space="preserve">em </w:t>
      </w:r>
      <w:r w:rsidR="000D72FB">
        <w:t>Účastníkovi</w:t>
      </w:r>
      <w:r w:rsidRPr="006E00C2">
        <w:t xml:space="preserve"> poskytnuty </w:t>
      </w:r>
      <w:r>
        <w:t>a jsou uvedené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75675072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 xml:space="preserve">ůvěrné informace zůstávají výhradním vlastnictvím </w:t>
      </w:r>
      <w:r>
        <w:t>Zadavatele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77777777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Zadavatele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Zadavateli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Zadavatelem vlastním jménem a na vlastní účet dohodu s v podstatě stejným obsahem, jako je obsah této Dohody; tento předpoklad se považuje za splněný, pokud budou </w:t>
      </w:r>
      <w:r w:rsidR="00202E45">
        <w:t>Zadavateli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761A34E6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základě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202E45">
        <w:t>Zadavateli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4017F28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66054D">
        <w:t>Zadavatele</w:t>
      </w:r>
      <w:r w:rsidR="0066054D" w:rsidRPr="005E0645">
        <w:t xml:space="preserve"> vrátí všechny přijaté Důvěrné informace </w:t>
      </w:r>
      <w:r w:rsidR="0066054D">
        <w:t>Zadavateli,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6B5D9D" w:rsidRPr="00627847">
        <w:t>Zadavatel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Zadavatele,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7777777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uzavřel se Zadavatelem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38CC891A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Zadavateli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83238F">
        <w:rPr>
          <w:lang w:eastAsia="en-US"/>
        </w:rPr>
        <w:t>1</w:t>
      </w:r>
      <w:r w:rsidR="00CB1A64">
        <w:rPr>
          <w:lang w:eastAsia="en-US"/>
        </w:rPr>
        <w:t>.</w:t>
      </w:r>
      <w:r w:rsidR="0083238F">
        <w:rPr>
          <w:lang w:eastAsia="en-US"/>
        </w:rPr>
        <w:t>000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83238F">
        <w:rPr>
          <w:lang w:eastAsia="en-US"/>
        </w:rPr>
        <w:t>jeden milion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3833C09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lastRenderedPageBreak/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(.pdf),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7777777" w:rsidR="0066054D" w:rsidRDefault="0066054D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29EB89E" w:rsidR="0066054D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> Praze dne:</w:t>
            </w:r>
            <w:r w:rsidRPr="000C3F5E">
              <w:t xml:space="preserve"> </w:t>
            </w:r>
          </w:p>
          <w:p w14:paraId="30E84527" w14:textId="39C21F60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33E1A5B5" w14:textId="0D2CF23C" w:rsidR="001C0933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 xml:space="preserve"> Praze</w:t>
            </w:r>
            <w:r w:rsidRPr="000C3F5E">
              <w:t xml:space="preserve"> dne</w:t>
            </w:r>
            <w:r w:rsidR="001C0933">
              <w:t>:</w:t>
            </w:r>
          </w:p>
          <w:p w14:paraId="39169528" w14:textId="77777777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479CB1E1" w14:textId="4744C260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 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77777777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>Česká republika – Ministerstvo zemědělství</w:t>
            </w:r>
          </w:p>
          <w:p w14:paraId="6EABE6B3" w14:textId="720C0D9A" w:rsidR="00DF3E22" w:rsidRDefault="00DF3E22" w:rsidP="00DF3E22">
            <w:pPr>
              <w:pStyle w:val="RLdajeosmluvnstran"/>
              <w:spacing w:line="276" w:lineRule="auto"/>
            </w:pPr>
            <w:r>
              <w:t xml:space="preserve">Ing. </w:t>
            </w:r>
            <w:r w:rsidR="00C90140">
              <w:t>Miroslav Rychtařík</w:t>
            </w:r>
          </w:p>
          <w:p w14:paraId="53BE5C6F" w14:textId="77777777" w:rsidR="0066054D" w:rsidRPr="00D43DB3" w:rsidRDefault="00DF3E22" w:rsidP="00EC6630">
            <w:pPr>
              <w:pStyle w:val="RLdajeosmluvnstran"/>
              <w:spacing w:line="276" w:lineRule="auto"/>
            </w:pPr>
            <w:r w:rsidRPr="000D72FB">
              <w:rPr>
                <w:rFonts w:asciiTheme="minorHAnsi" w:hAnsiTheme="minorHAnsi" w:cs="Arial"/>
                <w:szCs w:val="22"/>
              </w:rPr>
              <w:t>ředitel Odboru informačních a komunikačních technologií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3344C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4FD645B0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r w:rsidRPr="00D81464">
        <w:rPr>
          <w:rFonts w:cs="Arial"/>
          <w:sz w:val="22"/>
          <w:szCs w:val="22"/>
        </w:rPr>
        <w:t>Interní dokumentace dle čl. 7 odst. 7.1</w:t>
      </w:r>
      <w:r w:rsidR="00E548C3">
        <w:rPr>
          <w:rFonts w:cs="Arial"/>
          <w:sz w:val="22"/>
          <w:szCs w:val="22"/>
        </w:rPr>
        <w:t>6</w:t>
      </w:r>
      <w:r w:rsidRPr="00D81464">
        <w:rPr>
          <w:rFonts w:cs="Arial"/>
          <w:sz w:val="22"/>
          <w:szCs w:val="22"/>
        </w:rPr>
        <w:t xml:space="preserve"> závazného textu návrhu Smlouvy</w:t>
      </w:r>
    </w:p>
    <w:p w14:paraId="1A97A57F" w14:textId="77777777" w:rsidR="001C0933" w:rsidRPr="001C0933" w:rsidRDefault="001C0933" w:rsidP="001C0933">
      <w:pPr>
        <w:numPr>
          <w:ilvl w:val="1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  <w:r w:rsidRPr="001C0933"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  <w:t>Bezpečnost</w:t>
      </w:r>
    </w:p>
    <w:p w14:paraId="46B4AE1C" w14:textId="77777777" w:rsidR="001C0933" w:rsidRPr="001C0933" w:rsidRDefault="001C0933" w:rsidP="001C0933">
      <w:pPr>
        <w:ind w:left="1208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cs-CZ"/>
        </w:rPr>
      </w:pPr>
    </w:p>
    <w:p w14:paraId="5BA96534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bookmarkStart w:id="20" w:name="_Hlk142567294"/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Směrnice č. 2/2022 - Bezpečnostní politika informací MZe </w:t>
      </w:r>
    </w:p>
    <w:p w14:paraId="0C9C67DE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Směrnice č. 13/2023 Bezpečnostní politika ISMS vč. příloh</w:t>
      </w:r>
    </w:p>
    <w:p w14:paraId="6749594E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BIT Směrnice k řízení bezpečnosti informačních a komunikačních technologií MZe </w:t>
      </w:r>
    </w:p>
    <w:p w14:paraId="03F4053E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SSI Směrnice ke správě incidentů MZe </w:t>
      </w:r>
    </w:p>
    <w:p w14:paraId="4379D152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SRK Směrnice pro řízení kontinuity činností </w:t>
      </w:r>
    </w:p>
    <w:p w14:paraId="336020AA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SZSBP Směrnice k zajištění shody s bezpečnostními požadavky MZe </w:t>
      </w:r>
    </w:p>
    <w:p w14:paraId="09D1E67D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SPZD Slovník pojmů a zkratek v dokumentaci ISMS MZe </w:t>
      </w:r>
    </w:p>
    <w:p w14:paraId="5483FCE3" w14:textId="77777777" w:rsidR="007F2E06" w:rsidRPr="007F2E06" w:rsidRDefault="007F2E06" w:rsidP="007F2E06">
      <w:pPr>
        <w:numPr>
          <w:ilvl w:val="0"/>
          <w:numId w:val="4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Minimální požadavky na kryptografické prostředky (Zadavatel nedisponuje interním dokumentem, je nutno řídit se platným doporučením vystaveným na webu NÚKIB) </w:t>
      </w:r>
    </w:p>
    <w:p w14:paraId="66896222" w14:textId="77777777" w:rsidR="007F2E06" w:rsidRPr="007F2E06" w:rsidRDefault="007F2E06" w:rsidP="007F2E06">
      <w:pPr>
        <w:spacing w:after="0" w:line="240" w:lineRule="auto"/>
        <w:ind w:left="1004" w:firstLine="76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7F2E06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dle https://nukib.cz/cs/infoservis/doporuceni/</w:t>
      </w:r>
    </w:p>
    <w:bookmarkEnd w:id="20"/>
    <w:p w14:paraId="4BAC8749" w14:textId="77777777" w:rsidR="001C0933" w:rsidRPr="001C0933" w:rsidRDefault="001C0933" w:rsidP="001C0933">
      <w:pPr>
        <w:ind w:left="1208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</w:p>
    <w:p w14:paraId="011D9698" w14:textId="77777777" w:rsidR="001C0933" w:rsidRPr="001C0933" w:rsidRDefault="001C0933" w:rsidP="001C0933">
      <w:pPr>
        <w:ind w:left="12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26F266" w14:textId="77777777" w:rsidR="001C0933" w:rsidRPr="001C0933" w:rsidRDefault="001C0933" w:rsidP="001C0933">
      <w:pPr>
        <w:pStyle w:val="Odstavecseseznamem"/>
        <w:numPr>
          <w:ilvl w:val="0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C2E2133" w14:textId="77777777" w:rsidR="001C0933" w:rsidRPr="001C0933" w:rsidRDefault="001C0933" w:rsidP="001C0933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70BC8747" w14:textId="77777777" w:rsidR="001C0933" w:rsidRPr="001C0933" w:rsidRDefault="001C0933" w:rsidP="001C0933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ITSM procesy zadavatele</w:t>
      </w:r>
    </w:p>
    <w:p w14:paraId="0B9EA243" w14:textId="77777777" w:rsidR="001C0933" w:rsidRPr="001C0933" w:rsidRDefault="001C0933" w:rsidP="001C0933">
      <w:pPr>
        <w:numPr>
          <w:ilvl w:val="2"/>
          <w:numId w:val="0"/>
        </w:numPr>
        <w:spacing w:before="240" w:line="360" w:lineRule="auto"/>
        <w:ind w:left="720" w:hanging="360"/>
        <w:contextualSpacing/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>1.2.1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Release management</w:t>
      </w:r>
    </w:p>
    <w:p w14:paraId="5FC3945E" w14:textId="77777777" w:rsidR="001C0933" w:rsidRPr="001C0933" w:rsidRDefault="001C0933" w:rsidP="001C0933">
      <w:pPr>
        <w:numPr>
          <w:ilvl w:val="0"/>
          <w:numId w:val="38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RM_Diagram</w:t>
      </w:r>
    </w:p>
    <w:p w14:paraId="6D1FC48B" w14:textId="77777777" w:rsidR="001C0933" w:rsidRPr="001C0933" w:rsidRDefault="001C0933" w:rsidP="001C0933">
      <w:pPr>
        <w:numPr>
          <w:ilvl w:val="0"/>
          <w:numId w:val="38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RM_Release plán</w:t>
      </w:r>
    </w:p>
    <w:p w14:paraId="76C405FF" w14:textId="77777777" w:rsidR="001C0933" w:rsidRPr="001C0933" w:rsidRDefault="001C0933" w:rsidP="001C0933">
      <w:pPr>
        <w:numPr>
          <w:ilvl w:val="0"/>
          <w:numId w:val="38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 xml:space="preserve">RM_Detailní harmonogram </w:t>
      </w:r>
    </w:p>
    <w:p w14:paraId="5927116E" w14:textId="77777777" w:rsidR="001C0933" w:rsidRPr="001C0933" w:rsidRDefault="001C0933" w:rsidP="001C0933">
      <w:pPr>
        <w:numPr>
          <w:ilvl w:val="0"/>
          <w:numId w:val="38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RM_Proces</w:t>
      </w:r>
    </w:p>
    <w:p w14:paraId="4AD4844C" w14:textId="77777777" w:rsidR="001C0933" w:rsidRPr="001C0933" w:rsidRDefault="001C0933" w:rsidP="001C0933">
      <w:pPr>
        <w:numPr>
          <w:ilvl w:val="0"/>
          <w:numId w:val="38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RM_RTT plán</w:t>
      </w:r>
    </w:p>
    <w:p w14:paraId="55E4418F" w14:textId="77777777" w:rsidR="001C0933" w:rsidRPr="001C0933" w:rsidRDefault="001C0933" w:rsidP="001C0933">
      <w:pPr>
        <w:numPr>
          <w:ilvl w:val="0"/>
          <w:numId w:val="38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RM_RTP plan</w:t>
      </w:r>
    </w:p>
    <w:p w14:paraId="30B3DEA5" w14:textId="77777777" w:rsidR="001C0933" w:rsidRPr="001C0933" w:rsidRDefault="001C0933" w:rsidP="001C0933">
      <w:pPr>
        <w:ind w:left="1208"/>
        <w:jc w:val="both"/>
        <w:rPr>
          <w:rFonts w:asciiTheme="minorHAnsi" w:hAnsiTheme="minorHAnsi" w:cstheme="minorHAnsi"/>
          <w:sz w:val="22"/>
          <w:szCs w:val="22"/>
        </w:rPr>
      </w:pPr>
    </w:p>
    <w:p w14:paraId="7F7135A8" w14:textId="77777777" w:rsidR="001C0933" w:rsidRPr="001C0933" w:rsidRDefault="001C0933" w:rsidP="00B22932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>1.2.2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Problem management</w:t>
      </w:r>
    </w:p>
    <w:p w14:paraId="35246671" w14:textId="77777777" w:rsidR="001C0933" w:rsidRPr="001C0933" w:rsidRDefault="001C0933" w:rsidP="001C0933">
      <w:pPr>
        <w:numPr>
          <w:ilvl w:val="0"/>
          <w:numId w:val="7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 xml:space="preserve">PM_Diagram </w:t>
      </w:r>
    </w:p>
    <w:p w14:paraId="507AD2FE" w14:textId="77777777" w:rsidR="001C0933" w:rsidRPr="001C0933" w:rsidRDefault="001C0933" w:rsidP="001C0933">
      <w:pPr>
        <w:numPr>
          <w:ilvl w:val="0"/>
          <w:numId w:val="7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PM_Proces</w:t>
      </w:r>
    </w:p>
    <w:p w14:paraId="12FD413A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18BC1794" w14:textId="77777777" w:rsidR="001C0933" w:rsidRPr="001C0933" w:rsidRDefault="001C0933" w:rsidP="00B22932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>1.2.3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Change management</w:t>
      </w:r>
    </w:p>
    <w:p w14:paraId="02E14383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21" w:name="_Hlk130545522"/>
      <w:r w:rsidRPr="001C0933">
        <w:rPr>
          <w:rFonts w:asciiTheme="minorHAnsi" w:hAnsiTheme="minorHAnsi" w:cstheme="minorHAnsi"/>
          <w:sz w:val="22"/>
          <w:szCs w:val="22"/>
        </w:rPr>
        <w:t xml:space="preserve">ChM_ Priloha č.1-6 Diagramy </w:t>
      </w:r>
    </w:p>
    <w:p w14:paraId="16E7BBA7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 Proces</w:t>
      </w:r>
      <w:r w:rsidRPr="001C0933" w:rsidDel="00A01E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16BEF3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ChM_Formulář RfC-1</w:t>
      </w:r>
    </w:p>
    <w:p w14:paraId="2AA8537C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ChM_Příloha k RfC-1_Harmonogram plnění-A pro jednodušší změny</w:t>
      </w:r>
    </w:p>
    <w:p w14:paraId="16978268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ChM_Příloha k RfC-1_Harmonogram plnění-B pro složitější změny</w:t>
      </w:r>
    </w:p>
    <w:p w14:paraId="4D7298C3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ChM_Formulář RfC-2</w:t>
      </w:r>
    </w:p>
    <w:p w14:paraId="405B4788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ChM_Příloha k RfC_detail specifikace plnění</w:t>
      </w:r>
    </w:p>
    <w:p w14:paraId="08D40C51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ChM_Zadání dílčí analýzy</w:t>
      </w:r>
    </w:p>
    <w:p w14:paraId="49E94615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ChM_VZOR_eagriapp_provozně_technická_dokumentace</w:t>
      </w:r>
    </w:p>
    <w:p w14:paraId="1532787C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lastRenderedPageBreak/>
        <w:t xml:space="preserve">ChM_Rozsah_technické dokumentace </w:t>
      </w:r>
    </w:p>
    <w:p w14:paraId="4C44F341" w14:textId="77777777" w:rsidR="001C0933" w:rsidRPr="001C0933" w:rsidRDefault="001C0933" w:rsidP="001C0933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ChM_Komunikační_mapa</w:t>
      </w:r>
    </w:p>
    <w:bookmarkEnd w:id="21"/>
    <w:p w14:paraId="0C34E60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64692CC0" w14:textId="77777777" w:rsidR="001C0933" w:rsidRPr="001C0933" w:rsidRDefault="001C0933" w:rsidP="00B22932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>1.2.4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Idea management</w:t>
      </w:r>
    </w:p>
    <w:p w14:paraId="31E6A0E9" w14:textId="77777777" w:rsidR="001C0933" w:rsidRPr="001C0933" w:rsidRDefault="001C0933" w:rsidP="001C0933">
      <w:pPr>
        <w:numPr>
          <w:ilvl w:val="0"/>
          <w:numId w:val="9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IdM_Diagram</w:t>
      </w:r>
    </w:p>
    <w:p w14:paraId="77B7D858" w14:textId="77777777" w:rsidR="001C0933" w:rsidRPr="001C0933" w:rsidRDefault="001C0933" w:rsidP="001C0933">
      <w:pPr>
        <w:numPr>
          <w:ilvl w:val="0"/>
          <w:numId w:val="9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IdM_Proces</w:t>
      </w:r>
    </w:p>
    <w:p w14:paraId="62F38FAB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34DB7BF2" w14:textId="77777777" w:rsidR="001C0933" w:rsidRPr="001C0933" w:rsidRDefault="001C0933" w:rsidP="00B22932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>1.2.5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Incident management</w:t>
      </w:r>
    </w:p>
    <w:p w14:paraId="632ED12C" w14:textId="77777777" w:rsidR="001C0933" w:rsidRPr="001C0933" w:rsidRDefault="001C0933" w:rsidP="001C0933">
      <w:pPr>
        <w:numPr>
          <w:ilvl w:val="0"/>
          <w:numId w:val="25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IM_Diagram</w:t>
      </w:r>
    </w:p>
    <w:p w14:paraId="161B7228" w14:textId="77777777" w:rsidR="001C0933" w:rsidRPr="001C0933" w:rsidRDefault="001C0933" w:rsidP="001C0933">
      <w:pPr>
        <w:numPr>
          <w:ilvl w:val="0"/>
          <w:numId w:val="25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IM_Proces</w:t>
      </w:r>
    </w:p>
    <w:p w14:paraId="35F734F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67B77F55" w14:textId="77777777" w:rsidR="001C0933" w:rsidRPr="001C0933" w:rsidRDefault="001C0933" w:rsidP="00B22932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>1.2.6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Request fulfilment</w:t>
      </w:r>
    </w:p>
    <w:p w14:paraId="059CC20A" w14:textId="77777777" w:rsidR="001C0933" w:rsidRPr="001C0933" w:rsidRDefault="001C0933" w:rsidP="001C0933">
      <w:pPr>
        <w:numPr>
          <w:ilvl w:val="0"/>
          <w:numId w:val="1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RF_Diagram-přístup</w:t>
      </w:r>
    </w:p>
    <w:p w14:paraId="69CCAB28" w14:textId="77777777" w:rsidR="001C0933" w:rsidRPr="001C0933" w:rsidRDefault="001C0933" w:rsidP="001C0933">
      <w:pPr>
        <w:numPr>
          <w:ilvl w:val="0"/>
          <w:numId w:val="1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RF_Diagram-reset-hesla</w:t>
      </w:r>
    </w:p>
    <w:p w14:paraId="6BCF2034" w14:textId="77777777" w:rsidR="001C0933" w:rsidRPr="001C0933" w:rsidRDefault="001C0933" w:rsidP="001C0933">
      <w:pPr>
        <w:numPr>
          <w:ilvl w:val="0"/>
          <w:numId w:val="1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RF_Diagram-informace</w:t>
      </w:r>
    </w:p>
    <w:p w14:paraId="041362B4" w14:textId="77777777" w:rsidR="001C0933" w:rsidRPr="001C0933" w:rsidRDefault="001C0933" w:rsidP="001C0933">
      <w:pPr>
        <w:numPr>
          <w:ilvl w:val="0"/>
          <w:numId w:val="1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RF_Diagram-konfigurace</w:t>
      </w:r>
    </w:p>
    <w:p w14:paraId="76BE57F2" w14:textId="77777777" w:rsidR="001C0933" w:rsidRPr="001C0933" w:rsidRDefault="001C0933" w:rsidP="001C0933">
      <w:pPr>
        <w:numPr>
          <w:ilvl w:val="0"/>
          <w:numId w:val="1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RF_Diagram-HW</w:t>
      </w:r>
    </w:p>
    <w:p w14:paraId="7F40E6D5" w14:textId="77777777" w:rsidR="001C0933" w:rsidRPr="001C0933" w:rsidRDefault="001C0933" w:rsidP="001C0933">
      <w:pPr>
        <w:numPr>
          <w:ilvl w:val="0"/>
          <w:numId w:val="1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RF_Diagram-SW</w:t>
      </w:r>
    </w:p>
    <w:p w14:paraId="77E46666" w14:textId="77777777" w:rsidR="001C0933" w:rsidRPr="001C0933" w:rsidRDefault="001C0933" w:rsidP="001C0933">
      <w:pPr>
        <w:numPr>
          <w:ilvl w:val="0"/>
          <w:numId w:val="1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RF_Proces</w:t>
      </w:r>
    </w:p>
    <w:p w14:paraId="10393BFD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7EBEFFCB" w14:textId="77777777" w:rsidR="001C0933" w:rsidRPr="001C0933" w:rsidRDefault="001C0933" w:rsidP="00B22932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>1.2.7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Validation and Testing</w:t>
      </w:r>
    </w:p>
    <w:p w14:paraId="0068195E" w14:textId="77777777" w:rsidR="001C0933" w:rsidRPr="001C0933" w:rsidRDefault="001C0933" w:rsidP="001C0933">
      <w:pPr>
        <w:numPr>
          <w:ilvl w:val="0"/>
          <w:numId w:val="11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VaT Diagram</w:t>
      </w:r>
    </w:p>
    <w:p w14:paraId="34A1E020" w14:textId="77777777" w:rsidR="001C0933" w:rsidRPr="001C0933" w:rsidRDefault="001C0933" w:rsidP="001C0933">
      <w:pPr>
        <w:numPr>
          <w:ilvl w:val="0"/>
          <w:numId w:val="11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VaT Proces</w:t>
      </w:r>
    </w:p>
    <w:p w14:paraId="411FEF3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0128CCB4" w14:textId="77777777" w:rsidR="001C0933" w:rsidRPr="001C0933" w:rsidRDefault="001C0933" w:rsidP="00B22932">
      <w:pPr>
        <w:numPr>
          <w:ilvl w:val="1"/>
          <w:numId w:val="0"/>
        </w:numPr>
        <w:tabs>
          <w:tab w:val="left" w:pos="1320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1.3 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Ostatní metodiky a směrnice</w:t>
      </w:r>
    </w:p>
    <w:p w14:paraId="1541BFF4" w14:textId="77777777" w:rsidR="001C0933" w:rsidRPr="001C0933" w:rsidRDefault="001C0933" w:rsidP="001C0933">
      <w:pPr>
        <w:numPr>
          <w:ilvl w:val="0"/>
          <w:numId w:val="2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22" w:name="_Hlk138925608"/>
      <w:r w:rsidRPr="001C0933">
        <w:rPr>
          <w:rFonts w:asciiTheme="minorHAnsi" w:hAnsiTheme="minorHAnsi" w:cstheme="minorHAnsi"/>
          <w:sz w:val="22"/>
          <w:szCs w:val="22"/>
        </w:rPr>
        <w:t>Požadavky na dokumentaci</w:t>
      </w:r>
      <w:bookmarkEnd w:id="22"/>
    </w:p>
    <w:p w14:paraId="166DADB7" w14:textId="77777777" w:rsidR="001C0933" w:rsidRPr="001C0933" w:rsidRDefault="001C0933" w:rsidP="001C0933">
      <w:pPr>
        <w:numPr>
          <w:ilvl w:val="0"/>
          <w:numId w:val="2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 xml:space="preserve">Metodika modelování architektury </w:t>
      </w:r>
    </w:p>
    <w:p w14:paraId="08ADFBB2" w14:textId="77777777" w:rsidR="001C0933" w:rsidRPr="001C0933" w:rsidRDefault="001C0933" w:rsidP="001C0933">
      <w:pPr>
        <w:numPr>
          <w:ilvl w:val="0"/>
          <w:numId w:val="2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>Agrisource - příručka dodavatele</w:t>
      </w:r>
    </w:p>
    <w:p w14:paraId="159D8BF5" w14:textId="77777777" w:rsidR="001C0933" w:rsidRPr="001C0933" w:rsidRDefault="001C0933" w:rsidP="001C0933">
      <w:pPr>
        <w:numPr>
          <w:ilvl w:val="1"/>
          <w:numId w:val="0"/>
        </w:numPr>
        <w:tabs>
          <w:tab w:val="left" w:pos="1320"/>
          <w:tab w:val="right" w:pos="9072"/>
        </w:tabs>
        <w:spacing w:before="120" w:after="120"/>
        <w:ind w:left="576" w:hanging="576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580EFF3F" w14:textId="77777777" w:rsidR="001C0933" w:rsidRPr="001C0933" w:rsidRDefault="001C0933" w:rsidP="00B22932">
      <w:pPr>
        <w:numPr>
          <w:ilvl w:val="1"/>
          <w:numId w:val="0"/>
        </w:numPr>
        <w:tabs>
          <w:tab w:val="left" w:pos="1320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1.4 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  <w:t>HelpDesk</w:t>
      </w:r>
    </w:p>
    <w:p w14:paraId="5262EFC9" w14:textId="77777777" w:rsidR="001C0933" w:rsidRPr="001C0933" w:rsidRDefault="001C0933" w:rsidP="001C0933">
      <w:pPr>
        <w:numPr>
          <w:ilvl w:val="0"/>
          <w:numId w:val="40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0933">
        <w:rPr>
          <w:rFonts w:asciiTheme="minorHAnsi" w:hAnsiTheme="minorHAnsi" w:cstheme="minorHAnsi"/>
          <w:sz w:val="22"/>
          <w:szCs w:val="22"/>
        </w:rPr>
        <w:t xml:space="preserve">Spolupráce HD MZe </w:t>
      </w:r>
    </w:p>
    <w:p w14:paraId="49AF823A" w14:textId="77777777" w:rsidR="0083238F" w:rsidRPr="001C0933" w:rsidRDefault="0083238F" w:rsidP="00067D01">
      <w:pPr>
        <w:pStyle w:val="RLProhlensmluvnchstran"/>
        <w:jc w:val="left"/>
        <w:rPr>
          <w:rFonts w:asciiTheme="minorHAnsi" w:hAnsiTheme="minorHAnsi" w:cstheme="minorHAnsi"/>
          <w:szCs w:val="22"/>
        </w:rPr>
      </w:pPr>
    </w:p>
    <w:sectPr w:rsidR="0083238F" w:rsidRPr="001C0933" w:rsidSect="0053344C">
      <w:headerReference w:type="default" r:id="rId15"/>
      <w:footerReference w:type="default" r:id="rId16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BE2A7" w14:textId="77777777" w:rsidR="0060007E" w:rsidRDefault="0060007E" w:rsidP="0066054D">
      <w:pPr>
        <w:spacing w:after="0" w:line="240" w:lineRule="auto"/>
      </w:pPr>
      <w:r>
        <w:separator/>
      </w:r>
    </w:p>
  </w:endnote>
  <w:endnote w:type="continuationSeparator" w:id="0">
    <w:p w14:paraId="76F4858C" w14:textId="77777777" w:rsidR="0060007E" w:rsidRDefault="0060007E" w:rsidP="0066054D">
      <w:pPr>
        <w:spacing w:after="0" w:line="240" w:lineRule="auto"/>
      </w:pPr>
      <w:r>
        <w:continuationSeparator/>
      </w:r>
    </w:p>
  </w:endnote>
  <w:endnote w:type="continuationNotice" w:id="1">
    <w:p w14:paraId="287517F5" w14:textId="77777777" w:rsidR="0060007E" w:rsidRDefault="006000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CA49" w14:textId="68F9A9BF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4B6983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B466" w14:textId="439D7902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4B6983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2C7B" w14:textId="77777777" w:rsidR="0060007E" w:rsidRDefault="0060007E" w:rsidP="0066054D">
      <w:pPr>
        <w:spacing w:after="0" w:line="240" w:lineRule="auto"/>
      </w:pPr>
      <w:r>
        <w:separator/>
      </w:r>
    </w:p>
  </w:footnote>
  <w:footnote w:type="continuationSeparator" w:id="0">
    <w:p w14:paraId="66957616" w14:textId="77777777" w:rsidR="0060007E" w:rsidRDefault="0060007E" w:rsidP="0066054D">
      <w:pPr>
        <w:spacing w:after="0" w:line="240" w:lineRule="auto"/>
      </w:pPr>
      <w:r>
        <w:continuationSeparator/>
      </w:r>
    </w:p>
  </w:footnote>
  <w:footnote w:type="continuationNotice" w:id="1">
    <w:p w14:paraId="445FF42C" w14:textId="77777777" w:rsidR="0060007E" w:rsidRDefault="006000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6A55805B" w:rsidR="0083238F" w:rsidRPr="00D81464" w:rsidRDefault="00E41536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4</w:t>
    </w:r>
    <w:r w:rsidR="00D81464" w:rsidRPr="00D81464">
      <w:rPr>
        <w:sz w:val="22"/>
        <w:szCs w:val="22"/>
        <w:lang w:val="cs-CZ"/>
      </w:rPr>
      <w:t xml:space="preserve">. </w:t>
    </w:r>
    <w:r w:rsidR="00D81464" w:rsidRPr="0092500D">
      <w:rPr>
        <w:sz w:val="22"/>
        <w:szCs w:val="22"/>
        <w:lang w:val="cs-CZ"/>
      </w:rPr>
      <w:t xml:space="preserve">kolo - </w:t>
    </w:r>
    <w:r>
      <w:t>T</w:t>
    </w:r>
    <w:r w:rsidR="0092500D" w:rsidRPr="0092500D">
      <w:t>ým specialistů pro podporu platformy Microsoft MZe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9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4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76" w:hanging="360"/>
      </w:pPr>
    </w:lvl>
    <w:lvl w:ilvl="2" w:tplc="FFFFFFFF" w:tentative="1">
      <w:start w:val="1"/>
      <w:numFmt w:val="lowerRoman"/>
      <w:lvlText w:val="%3."/>
      <w:lvlJc w:val="right"/>
      <w:pPr>
        <w:ind w:left="2596" w:hanging="180"/>
      </w:pPr>
    </w:lvl>
    <w:lvl w:ilvl="3" w:tplc="FFFFFFFF" w:tentative="1">
      <w:start w:val="1"/>
      <w:numFmt w:val="decimal"/>
      <w:lvlText w:val="%4."/>
      <w:lvlJc w:val="left"/>
      <w:pPr>
        <w:ind w:left="3316" w:hanging="360"/>
      </w:pPr>
    </w:lvl>
    <w:lvl w:ilvl="4" w:tplc="FFFFFFFF" w:tentative="1">
      <w:start w:val="1"/>
      <w:numFmt w:val="lowerLetter"/>
      <w:lvlText w:val="%5."/>
      <w:lvlJc w:val="left"/>
      <w:pPr>
        <w:ind w:left="4036" w:hanging="360"/>
      </w:pPr>
    </w:lvl>
    <w:lvl w:ilvl="5" w:tplc="FFFFFFFF" w:tentative="1">
      <w:start w:val="1"/>
      <w:numFmt w:val="lowerRoman"/>
      <w:lvlText w:val="%6."/>
      <w:lvlJc w:val="right"/>
      <w:pPr>
        <w:ind w:left="4756" w:hanging="180"/>
      </w:pPr>
    </w:lvl>
    <w:lvl w:ilvl="6" w:tplc="FFFFFFFF" w:tentative="1">
      <w:start w:val="1"/>
      <w:numFmt w:val="decimal"/>
      <w:lvlText w:val="%7."/>
      <w:lvlJc w:val="left"/>
      <w:pPr>
        <w:ind w:left="5476" w:hanging="360"/>
      </w:pPr>
    </w:lvl>
    <w:lvl w:ilvl="7" w:tplc="FFFFFFFF" w:tentative="1">
      <w:start w:val="1"/>
      <w:numFmt w:val="lowerLetter"/>
      <w:lvlText w:val="%8."/>
      <w:lvlJc w:val="left"/>
      <w:pPr>
        <w:ind w:left="6196" w:hanging="360"/>
      </w:pPr>
    </w:lvl>
    <w:lvl w:ilvl="8" w:tplc="FFFFFFFF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6"/>
  </w:num>
  <w:num w:numId="2" w16cid:durableId="1469085049">
    <w:abstractNumId w:val="16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3"/>
  </w:num>
  <w:num w:numId="4" w16cid:durableId="1714765048">
    <w:abstractNumId w:val="28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7"/>
  </w:num>
  <w:num w:numId="10" w16cid:durableId="951521730">
    <w:abstractNumId w:val="24"/>
  </w:num>
  <w:num w:numId="11" w16cid:durableId="1966542279">
    <w:abstractNumId w:val="7"/>
  </w:num>
  <w:num w:numId="12" w16cid:durableId="2062628048">
    <w:abstractNumId w:val="27"/>
  </w:num>
  <w:num w:numId="13" w16cid:durableId="81030583">
    <w:abstractNumId w:val="29"/>
  </w:num>
  <w:num w:numId="14" w16cid:durableId="1528719685">
    <w:abstractNumId w:val="23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6"/>
  </w:num>
  <w:num w:numId="20" w16cid:durableId="956645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6"/>
  </w:num>
  <w:num w:numId="22" w16cid:durableId="1163204153">
    <w:abstractNumId w:val="18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5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2"/>
  </w:num>
  <w:num w:numId="29" w16cid:durableId="460343248">
    <w:abstractNumId w:val="26"/>
  </w:num>
  <w:num w:numId="30" w16cid:durableId="1460371415">
    <w:abstractNumId w:val="13"/>
  </w:num>
  <w:num w:numId="31" w16cid:durableId="116994079">
    <w:abstractNumId w:val="11"/>
  </w:num>
  <w:num w:numId="32" w16cid:durableId="698773498">
    <w:abstractNumId w:val="10"/>
  </w:num>
  <w:num w:numId="33" w16cid:durableId="2119182776">
    <w:abstractNumId w:val="20"/>
  </w:num>
  <w:num w:numId="34" w16cid:durableId="1730500208">
    <w:abstractNumId w:val="21"/>
  </w:num>
  <w:num w:numId="35" w16cid:durableId="1384669835">
    <w:abstractNumId w:val="19"/>
  </w:num>
  <w:num w:numId="36" w16cid:durableId="848131724">
    <w:abstractNumId w:val="22"/>
  </w:num>
  <w:num w:numId="37" w16cid:durableId="259722390">
    <w:abstractNumId w:val="35"/>
  </w:num>
  <w:num w:numId="38" w16cid:durableId="576213058">
    <w:abstractNumId w:val="34"/>
  </w:num>
  <w:num w:numId="39" w16cid:durableId="995113142">
    <w:abstractNumId w:val="9"/>
  </w:num>
  <w:num w:numId="40" w16cid:durableId="1697537445">
    <w:abstractNumId w:val="8"/>
  </w:num>
  <w:num w:numId="41" w16cid:durableId="110121657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4253"/>
    <w:rsid w:val="00067D01"/>
    <w:rsid w:val="00083437"/>
    <w:rsid w:val="00086A2E"/>
    <w:rsid w:val="00090B03"/>
    <w:rsid w:val="000A3F97"/>
    <w:rsid w:val="000A7A9F"/>
    <w:rsid w:val="000B40A6"/>
    <w:rsid w:val="000C53CA"/>
    <w:rsid w:val="000D3681"/>
    <w:rsid w:val="000D72FB"/>
    <w:rsid w:val="001030E6"/>
    <w:rsid w:val="00114A7D"/>
    <w:rsid w:val="001250D9"/>
    <w:rsid w:val="001305CB"/>
    <w:rsid w:val="00137B60"/>
    <w:rsid w:val="00141440"/>
    <w:rsid w:val="00144E03"/>
    <w:rsid w:val="00147464"/>
    <w:rsid w:val="00164348"/>
    <w:rsid w:val="00164997"/>
    <w:rsid w:val="001812BE"/>
    <w:rsid w:val="00182C6E"/>
    <w:rsid w:val="00196006"/>
    <w:rsid w:val="001A37B2"/>
    <w:rsid w:val="001B0CCF"/>
    <w:rsid w:val="001C0933"/>
    <w:rsid w:val="001E3F85"/>
    <w:rsid w:val="00202E45"/>
    <w:rsid w:val="00207E73"/>
    <w:rsid w:val="00236861"/>
    <w:rsid w:val="00241505"/>
    <w:rsid w:val="00242783"/>
    <w:rsid w:val="002604E8"/>
    <w:rsid w:val="00265C36"/>
    <w:rsid w:val="002779E0"/>
    <w:rsid w:val="002A03B3"/>
    <w:rsid w:val="002A2326"/>
    <w:rsid w:val="002B2DC6"/>
    <w:rsid w:val="002C5B08"/>
    <w:rsid w:val="002D2C04"/>
    <w:rsid w:val="002F297B"/>
    <w:rsid w:val="002F4A78"/>
    <w:rsid w:val="002F4DFF"/>
    <w:rsid w:val="00303648"/>
    <w:rsid w:val="0032237F"/>
    <w:rsid w:val="0033648E"/>
    <w:rsid w:val="00344C06"/>
    <w:rsid w:val="0035224A"/>
    <w:rsid w:val="00363C81"/>
    <w:rsid w:val="003643F7"/>
    <w:rsid w:val="003748A7"/>
    <w:rsid w:val="00387916"/>
    <w:rsid w:val="003957DE"/>
    <w:rsid w:val="0039601E"/>
    <w:rsid w:val="0039709F"/>
    <w:rsid w:val="0039767E"/>
    <w:rsid w:val="003B13EA"/>
    <w:rsid w:val="003B1CBF"/>
    <w:rsid w:val="003B1E42"/>
    <w:rsid w:val="003B4E5F"/>
    <w:rsid w:val="003B6213"/>
    <w:rsid w:val="003C1173"/>
    <w:rsid w:val="003D0464"/>
    <w:rsid w:val="003D3FBE"/>
    <w:rsid w:val="003F7BAF"/>
    <w:rsid w:val="003F7F6D"/>
    <w:rsid w:val="00415082"/>
    <w:rsid w:val="004213F3"/>
    <w:rsid w:val="00423317"/>
    <w:rsid w:val="0043474D"/>
    <w:rsid w:val="00457A3C"/>
    <w:rsid w:val="004627A0"/>
    <w:rsid w:val="004727E3"/>
    <w:rsid w:val="00473CA2"/>
    <w:rsid w:val="00485DD3"/>
    <w:rsid w:val="004915E7"/>
    <w:rsid w:val="004B6983"/>
    <w:rsid w:val="004D272B"/>
    <w:rsid w:val="004E075D"/>
    <w:rsid w:val="004E5CC4"/>
    <w:rsid w:val="00504BEC"/>
    <w:rsid w:val="0051710F"/>
    <w:rsid w:val="0053344C"/>
    <w:rsid w:val="0053421E"/>
    <w:rsid w:val="00574010"/>
    <w:rsid w:val="005848AF"/>
    <w:rsid w:val="00590F8B"/>
    <w:rsid w:val="00591B8A"/>
    <w:rsid w:val="00592EDC"/>
    <w:rsid w:val="005A4319"/>
    <w:rsid w:val="005B0779"/>
    <w:rsid w:val="005B5A69"/>
    <w:rsid w:val="005C2CAD"/>
    <w:rsid w:val="005E6AED"/>
    <w:rsid w:val="005F0141"/>
    <w:rsid w:val="005F71DE"/>
    <w:rsid w:val="0060007E"/>
    <w:rsid w:val="00627847"/>
    <w:rsid w:val="0066054D"/>
    <w:rsid w:val="0066768D"/>
    <w:rsid w:val="00676D3A"/>
    <w:rsid w:val="00694960"/>
    <w:rsid w:val="006A1FAC"/>
    <w:rsid w:val="006A5F0B"/>
    <w:rsid w:val="006B321C"/>
    <w:rsid w:val="006B4DCB"/>
    <w:rsid w:val="006B5D9D"/>
    <w:rsid w:val="006C4B1F"/>
    <w:rsid w:val="006C7A4C"/>
    <w:rsid w:val="00705C88"/>
    <w:rsid w:val="00707523"/>
    <w:rsid w:val="00722E52"/>
    <w:rsid w:val="0072440A"/>
    <w:rsid w:val="0073392D"/>
    <w:rsid w:val="00746E67"/>
    <w:rsid w:val="007641FE"/>
    <w:rsid w:val="0077049E"/>
    <w:rsid w:val="00777ACE"/>
    <w:rsid w:val="00782CFC"/>
    <w:rsid w:val="007B5B04"/>
    <w:rsid w:val="007D0A14"/>
    <w:rsid w:val="007D6091"/>
    <w:rsid w:val="007F2E06"/>
    <w:rsid w:val="00803925"/>
    <w:rsid w:val="008059A0"/>
    <w:rsid w:val="00812967"/>
    <w:rsid w:val="0083238F"/>
    <w:rsid w:val="008433D6"/>
    <w:rsid w:val="0085100E"/>
    <w:rsid w:val="00852355"/>
    <w:rsid w:val="008637D5"/>
    <w:rsid w:val="00872116"/>
    <w:rsid w:val="0087297D"/>
    <w:rsid w:val="008A4923"/>
    <w:rsid w:val="008A7DDF"/>
    <w:rsid w:val="008C6858"/>
    <w:rsid w:val="008C7D57"/>
    <w:rsid w:val="008D3F7E"/>
    <w:rsid w:val="008D6A86"/>
    <w:rsid w:val="008E3B32"/>
    <w:rsid w:val="008F728E"/>
    <w:rsid w:val="00906776"/>
    <w:rsid w:val="00920EB4"/>
    <w:rsid w:val="009213F4"/>
    <w:rsid w:val="0092500D"/>
    <w:rsid w:val="0095034D"/>
    <w:rsid w:val="00950DA4"/>
    <w:rsid w:val="009526AA"/>
    <w:rsid w:val="00973D68"/>
    <w:rsid w:val="009B3072"/>
    <w:rsid w:val="009B4427"/>
    <w:rsid w:val="009B64A8"/>
    <w:rsid w:val="009C33DE"/>
    <w:rsid w:val="00A000FB"/>
    <w:rsid w:val="00A1024F"/>
    <w:rsid w:val="00A10E5F"/>
    <w:rsid w:val="00A12B0B"/>
    <w:rsid w:val="00A32358"/>
    <w:rsid w:val="00A41425"/>
    <w:rsid w:val="00A41FCB"/>
    <w:rsid w:val="00A43BD5"/>
    <w:rsid w:val="00A50719"/>
    <w:rsid w:val="00A53E24"/>
    <w:rsid w:val="00A74EB5"/>
    <w:rsid w:val="00A775F6"/>
    <w:rsid w:val="00A92C98"/>
    <w:rsid w:val="00A92F4D"/>
    <w:rsid w:val="00AA2C77"/>
    <w:rsid w:val="00AA4972"/>
    <w:rsid w:val="00AD19A0"/>
    <w:rsid w:val="00AD5799"/>
    <w:rsid w:val="00AF16F8"/>
    <w:rsid w:val="00B026CE"/>
    <w:rsid w:val="00B22932"/>
    <w:rsid w:val="00B32F19"/>
    <w:rsid w:val="00B34DE1"/>
    <w:rsid w:val="00B40692"/>
    <w:rsid w:val="00B41A02"/>
    <w:rsid w:val="00B60375"/>
    <w:rsid w:val="00B743CB"/>
    <w:rsid w:val="00B81EC7"/>
    <w:rsid w:val="00B901F9"/>
    <w:rsid w:val="00B9306C"/>
    <w:rsid w:val="00B942D5"/>
    <w:rsid w:val="00B94746"/>
    <w:rsid w:val="00B94A75"/>
    <w:rsid w:val="00B95918"/>
    <w:rsid w:val="00BA3921"/>
    <w:rsid w:val="00BB01B6"/>
    <w:rsid w:val="00BB75D6"/>
    <w:rsid w:val="00BC4326"/>
    <w:rsid w:val="00BE123A"/>
    <w:rsid w:val="00BE4F27"/>
    <w:rsid w:val="00C01915"/>
    <w:rsid w:val="00C10D7B"/>
    <w:rsid w:val="00C51016"/>
    <w:rsid w:val="00C51207"/>
    <w:rsid w:val="00C532FC"/>
    <w:rsid w:val="00C7128C"/>
    <w:rsid w:val="00C90140"/>
    <w:rsid w:val="00C9065D"/>
    <w:rsid w:val="00CA3465"/>
    <w:rsid w:val="00CB1A64"/>
    <w:rsid w:val="00CC1E97"/>
    <w:rsid w:val="00CC6E7A"/>
    <w:rsid w:val="00CD19C3"/>
    <w:rsid w:val="00CD31B7"/>
    <w:rsid w:val="00CE1D05"/>
    <w:rsid w:val="00CE5F8F"/>
    <w:rsid w:val="00CE6066"/>
    <w:rsid w:val="00CF1C22"/>
    <w:rsid w:val="00CF2917"/>
    <w:rsid w:val="00CF716B"/>
    <w:rsid w:val="00D1477D"/>
    <w:rsid w:val="00D21EA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07974"/>
    <w:rsid w:val="00E11D70"/>
    <w:rsid w:val="00E20D61"/>
    <w:rsid w:val="00E41536"/>
    <w:rsid w:val="00E548C3"/>
    <w:rsid w:val="00E644C2"/>
    <w:rsid w:val="00E67AB7"/>
    <w:rsid w:val="00E82C7D"/>
    <w:rsid w:val="00EA54CC"/>
    <w:rsid w:val="00EB1C24"/>
    <w:rsid w:val="00EC6630"/>
    <w:rsid w:val="00ED34A7"/>
    <w:rsid w:val="00EE6EC8"/>
    <w:rsid w:val="00EF2B19"/>
    <w:rsid w:val="00F05136"/>
    <w:rsid w:val="00F10F31"/>
    <w:rsid w:val="00F2549D"/>
    <w:rsid w:val="00F3253C"/>
    <w:rsid w:val="00F40872"/>
    <w:rsid w:val="00F53160"/>
    <w:rsid w:val="00F65C1D"/>
    <w:rsid w:val="00F84BDC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1657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11416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2023-11-23T09:01:00Z</dcterms:created>
  <dcterms:modified xsi:type="dcterms:W3CDTF">2023-11-23T09:01:00Z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2023-11-22T08:52:17Z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b7d4f7b9-724d-4b51-be0c-6e3068611810</vt:lpwstr>
  </property>
  <property fmtid="{D5CDD505-2E9C-101B-9397-08002B2CF9AE}" pid="10" name="MSIP_Label_8d01bb0b-c2f5-4fc4-bac5-774fe7d62679_ContentBits">
    <vt:lpwstr>0</vt:lpwstr>
  </property>
</Properties>
</file>